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atLeast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中国糖业协会五届五次理事扩大会暨</w:t>
      </w:r>
    </w:p>
    <w:p>
      <w:pPr>
        <w:snapToGrid w:val="0"/>
        <w:spacing w:line="600" w:lineRule="atLeast"/>
        <w:jc w:val="center"/>
        <w:rPr>
          <w:rFonts w:hint="eastAsia"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2"/>
          <w:szCs w:val="32"/>
        </w:rPr>
        <w:t>全国糖业2018/19年制糖期绩效同业对标会参会回执</w:t>
      </w:r>
    </w:p>
    <w:p>
      <w:pPr>
        <w:snapToGrid w:val="0"/>
        <w:spacing w:before="156" w:beforeLines="50" w:after="156" w:afterLines="50" w:line="460" w:lineRule="atLeast"/>
        <w:ind w:firstLine="280" w:firstLineChars="100"/>
        <w:rPr>
          <w:rFonts w:hint="eastAsia"/>
          <w:bCs/>
          <w:sz w:val="32"/>
        </w:rPr>
      </w:pPr>
      <w:r>
        <w:rPr>
          <w:rFonts w:hint="eastAsia"/>
          <w:bCs/>
          <w:sz w:val="28"/>
          <w:szCs w:val="28"/>
        </w:rPr>
        <w:t>单位名称：</w:t>
      </w:r>
    </w:p>
    <w:tbl>
      <w:tblPr>
        <w:tblStyle w:val="5"/>
        <w:tblW w:w="136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897"/>
        <w:gridCol w:w="1499"/>
        <w:gridCol w:w="3863"/>
        <w:gridCol w:w="2145"/>
        <w:gridCol w:w="1599"/>
        <w:gridCol w:w="798"/>
        <w:gridCol w:w="1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64" w:type="dxa"/>
            <w:gridSpan w:val="6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      会     人</w:t>
            </w:r>
          </w:p>
        </w:tc>
        <w:tc>
          <w:tcPr>
            <w:tcW w:w="2031" w:type="dxa"/>
            <w:gridSpan w:val="2"/>
            <w:noWrap w:val="0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住宿要求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897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4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务</w:t>
            </w:r>
          </w:p>
        </w:tc>
        <w:tc>
          <w:tcPr>
            <w:tcW w:w="3863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5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传真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snapToGrid w:val="0"/>
              <w:spacing w:line="460" w:lineRule="atLeas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单住</w:t>
            </w:r>
          </w:p>
        </w:tc>
        <w:tc>
          <w:tcPr>
            <w:tcW w:w="1233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6日续住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863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98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3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3863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5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798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233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3863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5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798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233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3863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5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798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233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</w:tr>
    </w:tbl>
    <w:p>
      <w:pPr>
        <w:rPr>
          <w:rFonts w:hint="eastAsia"/>
          <w:b/>
          <w:bCs/>
          <w:szCs w:val="21"/>
        </w:rPr>
      </w:pPr>
    </w:p>
    <w:p>
      <w:pPr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注：请于2019年8月20日前传真或发邮件至中国糖业协会。传真号码：010-58568983；电子邮箱：csa@chinasugar.org.cn</w:t>
      </w:r>
    </w:p>
    <w:p>
      <w:pPr>
        <w:pBdr>
          <w:bottom w:val="dotted" w:color="auto" w:sz="24" w:space="0"/>
        </w:pBdr>
      </w:pPr>
    </w:p>
    <w:p>
      <w:pPr>
        <w:spacing w:line="500" w:lineRule="exact"/>
      </w:pPr>
    </w:p>
    <w:tbl>
      <w:tblPr>
        <w:tblStyle w:val="5"/>
        <w:tblW w:w="13639" w:type="dxa"/>
        <w:tblInd w:w="2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4987"/>
        <w:gridCol w:w="2235"/>
        <w:gridCol w:w="550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3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开发票信息（普票）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4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纳税人识别号</w:t>
            </w: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6840" w:h="11907" w:orient="landscape"/>
      <w:pgMar w:top="1701" w:right="1418" w:bottom="170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65899"/>
    <w:rsid w:val="0D356D5B"/>
    <w:rsid w:val="114D1386"/>
    <w:rsid w:val="2B165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spacing w:before="240" w:beforeLines="0" w:beforeAutospacing="0" w:after="120" w:afterLines="0" w:afterAutospacing="0" w:line="360" w:lineRule="auto"/>
      <w:jc w:val="center"/>
      <w:outlineLvl w:val="0"/>
    </w:pPr>
    <w:rPr>
      <w:rFonts w:ascii="Calibri" w:hAnsi="Calibri" w:eastAsia="宋体" w:cs="Times New Roman"/>
      <w:b/>
      <w:kern w:val="44"/>
      <w:sz w:val="32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="240" w:beforeLines="0" w:beforeAutospacing="0" w:after="240" w:afterLines="0" w:afterAutospacing="0" w:line="360" w:lineRule="auto"/>
      <w:outlineLvl w:val="1"/>
    </w:pPr>
    <w:rPr>
      <w:rFonts w:ascii="Arial" w:hAnsi="Arial" w:eastAsia="黑体" w:cs="Times New Roman"/>
      <w:b/>
      <w:sz w:val="28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2019-08-07T02:47:00Z</dcterms:created>
  <dc:creator>青萍之末</dc:creator>
  <cp:lastModifiedBy>青萍之末</cp:lastModifiedBy>
  <dcterms:modified xsi:type="dcterms:W3CDTF">2019-08-07T02:47:52Z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